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  <w:lang w:val="x-none"/>
        </w:rPr>
      </w:pPr>
      <w:r>
        <w:rPr>
          <w:rFonts w:cs="Times New Roman"/>
          <w:b/>
          <w:bCs/>
          <w:color w:val="000000"/>
          <w:sz w:val="24"/>
          <w:szCs w:val="24"/>
          <w:lang w:val="x-none"/>
        </w:rPr>
        <w:t>Соглашение между Правительством Республики Беларусь и Правительством Исламской Республики Иран о сотрудничестве в области карантина и защиты растений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Вступило в силу 10 сентября 1998 года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Правительство Республики Беларусь и Правительство Исламской Республики Иран, именуемые в дальнейшем «Стороны»,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желая углублять сотрудничество в области карантина и защиты растений, повышать степень защищенности территорий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>орон от проникновения карантинных организмов и ограничивать потери, вызванные их действием, а также осуществлять взаимную торговлю и обмен семенами, саженцами и продуктами растительного происхождения,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договорились о следующем: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CA0_СТ_1_1"/>
      <w:bookmarkEnd w:id="0"/>
      <w:r>
        <w:rPr>
          <w:rFonts w:cs="Times New Roman"/>
          <w:b/>
          <w:bCs/>
          <w:color w:val="000000"/>
          <w:sz w:val="24"/>
          <w:szCs w:val="24"/>
        </w:rPr>
        <w:t>Статья 1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целей настоящего Соглашения под карантинными организмами понимаются вредители, болезни растений и сорняки, которые признаются имеющими карантинное значение согласно соответствующим требованиям законодательств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 xml:space="preserve">орон, которые приведены в качестве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Приложения</w:t>
        </w:r>
      </w:hyperlink>
      <w:r>
        <w:rPr>
          <w:rFonts w:cs="Times New Roman"/>
          <w:color w:val="000000"/>
          <w:sz w:val="24"/>
          <w:szCs w:val="24"/>
        </w:rPr>
        <w:t>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Соответствующие органы госуда</w:t>
      </w:r>
      <w:proofErr w:type="gramStart"/>
      <w:r>
        <w:rPr>
          <w:rFonts w:cs="Times New Roman"/>
          <w:color w:val="000000"/>
          <w:sz w:val="24"/>
          <w:szCs w:val="24"/>
        </w:rPr>
        <w:t>рств Ст</w:t>
      </w:r>
      <w:proofErr w:type="gramEnd"/>
      <w:r>
        <w:rPr>
          <w:rFonts w:cs="Times New Roman"/>
          <w:color w:val="000000"/>
          <w:sz w:val="24"/>
          <w:szCs w:val="24"/>
        </w:rPr>
        <w:t>орон могут изменять или дополнять перечни карантинных растений.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Эти изменения и дополнения будут сообщены соответствующим органам каждой Стороны по дипломатическим каналам и вступят в силу не раньше 60 дней после такого сообщения.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" w:name="CA0_СТ_2_2"/>
      <w:bookmarkEnd w:id="1"/>
      <w:r>
        <w:rPr>
          <w:rFonts w:cs="Times New Roman"/>
          <w:b/>
          <w:bCs/>
          <w:color w:val="000000"/>
          <w:sz w:val="24"/>
          <w:szCs w:val="24"/>
        </w:rPr>
        <w:t>Статья 2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Соответствующие органы Сторон будут обмениваться информацией о возникновении и распространении карантинных организмов, указанных в перечне карантинных организмов территории другой Стороны.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" w:name="CA0_СТ_3_3"/>
      <w:bookmarkEnd w:id="2"/>
      <w:r>
        <w:rPr>
          <w:rFonts w:cs="Times New Roman"/>
          <w:b/>
          <w:bCs/>
          <w:color w:val="000000"/>
          <w:sz w:val="24"/>
          <w:szCs w:val="24"/>
        </w:rPr>
        <w:t>Статья 3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Стороны обеспечат выполнение их соответствующими органами и организациями соблюдение законодательства государства другой Стороны относительно карантина и защиты растений при экспорте и транзите семян, саженцев и других продуктов растительного происхождения (далее именуемые «продукты, подлежащими фитосанитарной инспекции») с территории одной Стороны </w:t>
      </w:r>
      <w:proofErr w:type="gramStart"/>
      <w:r>
        <w:rPr>
          <w:rFonts w:cs="Times New Roman"/>
          <w:color w:val="000000"/>
          <w:sz w:val="24"/>
          <w:szCs w:val="24"/>
        </w:rPr>
        <w:t>на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или </w:t>
      </w:r>
      <w:proofErr w:type="gramStart"/>
      <w:r>
        <w:rPr>
          <w:rFonts w:cs="Times New Roman"/>
          <w:color w:val="000000"/>
          <w:sz w:val="24"/>
          <w:szCs w:val="24"/>
        </w:rPr>
        <w:t>через</w:t>
      </w:r>
      <w:proofErr w:type="gramEnd"/>
      <w:r>
        <w:rPr>
          <w:rFonts w:cs="Times New Roman"/>
          <w:color w:val="000000"/>
          <w:sz w:val="24"/>
          <w:szCs w:val="24"/>
        </w:rPr>
        <w:t xml:space="preserve"> территорию другой Стороны. Импорт, экспорт и транзит партий будет осуществляться через пограничные пункты, определенные соответствующими органами Сторон, если это требуется другой Стороной.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3" w:name="CA0_СТ_4_4"/>
      <w:bookmarkEnd w:id="3"/>
      <w:r>
        <w:rPr>
          <w:rFonts w:cs="Times New Roman"/>
          <w:b/>
          <w:bCs/>
          <w:color w:val="000000"/>
          <w:sz w:val="24"/>
          <w:szCs w:val="24"/>
        </w:rPr>
        <w:t>Статья 4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Стороны договорились, что для экспорта продуктов, подлежащих фитосанитарной инспекции на территории другой Стороны, будут использоваться стружки, опилки, бумага, пластик и другие материалы, на которые не передаются карантинные организмы и которые не должны содержать почву и другие субстраты.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Транспортные средства, которые используются на территории другой Стороны для транспортировки продуктов, подлежащих фитосанитарной инспекции, должны быть тщательно вычищены и при необходимости дезинфицированы.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4" w:name="CA0_СТ_5_5"/>
      <w:bookmarkEnd w:id="4"/>
      <w:r>
        <w:rPr>
          <w:rFonts w:cs="Times New Roman"/>
          <w:b/>
          <w:bCs/>
          <w:color w:val="000000"/>
          <w:sz w:val="24"/>
          <w:szCs w:val="24"/>
        </w:rPr>
        <w:lastRenderedPageBreak/>
        <w:t>Статья 5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Каждая партия продуктов, подлежащих фитосанитарной инспекции, которая экспортируется с территории Стороны на или через территорию другой Стороны, должна сопровождаться фитосанитарным сертификатом, выданным органом карантина и защиты растений, который подтверждает, что данные продукты свободны от карантинных организмов, признающихся подлежащими карантинному режиму в государстве импортера.</w:t>
      </w:r>
      <w:proofErr w:type="gramEnd"/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Сопровождающий партию фитосанитарный сертификат должен быть выполнен в оригинальном виде на русском и английском языках для Белорусской Стороны и на персидском и английском языках для Иранской Стороны. Срок действия фитосанитарного сертификата – 24 дня </w:t>
      </w:r>
      <w:proofErr w:type="gramStart"/>
      <w:r>
        <w:rPr>
          <w:rFonts w:cs="Times New Roman"/>
          <w:color w:val="000000"/>
          <w:sz w:val="24"/>
          <w:szCs w:val="24"/>
        </w:rPr>
        <w:t>с даты выдачи</w:t>
      </w:r>
      <w:proofErr w:type="gramEnd"/>
      <w:r>
        <w:rPr>
          <w:rFonts w:cs="Times New Roman"/>
          <w:color w:val="000000"/>
          <w:sz w:val="24"/>
          <w:szCs w:val="24"/>
        </w:rPr>
        <w:t>. В случае необходимости внесения каких-либо изменений в фитосанитарные сертификаты, измененная часть/части должна быть удостоверена печатью компетентного органа Стороны.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Соответствующие органы Сторон могут определять дополнительные фитосанитарные условия импорта конкретных партий.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Необходимый для осуществления реэкспорта растений и продуктов растительного происхождения реэкспортный сертификат в обязательном порядке должен сопровождаться оригиналом фитосанитарного сертификата страны производителя.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5" w:name="CA0_СТ_6_6"/>
      <w:bookmarkEnd w:id="5"/>
      <w:r>
        <w:rPr>
          <w:rFonts w:cs="Times New Roman"/>
          <w:b/>
          <w:bCs/>
          <w:color w:val="000000"/>
          <w:sz w:val="24"/>
          <w:szCs w:val="24"/>
        </w:rPr>
        <w:t>Статья 6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случае обнаружения карантинных организмов или в случае любого нарушения карантинного режима государства импортера компетентные органы Сторон уничтожат, направят </w:t>
      </w:r>
      <w:proofErr w:type="gramStart"/>
      <w:r>
        <w:rPr>
          <w:rFonts w:cs="Times New Roman"/>
          <w:color w:val="000000"/>
          <w:sz w:val="24"/>
          <w:szCs w:val="24"/>
        </w:rPr>
        <w:t>в место отправления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или применят другие необходимые меры, о которых соответствующие органы Стороны должны быть уведомлены в письменном виде.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6" w:name="CA0_СТ_7_7"/>
      <w:bookmarkEnd w:id="6"/>
      <w:r>
        <w:rPr>
          <w:rFonts w:cs="Times New Roman"/>
          <w:b/>
          <w:bCs/>
          <w:color w:val="000000"/>
          <w:sz w:val="24"/>
          <w:szCs w:val="24"/>
        </w:rPr>
        <w:t>Статья 7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определенных случаях и по взаимной договоренности соответствующие органы Сторон будут предоставлять друг другу профессиональную, техническую и другую помощь в деле карантина и защиты растений.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7" w:name="CA0_СТ_8_8"/>
      <w:bookmarkEnd w:id="7"/>
      <w:r>
        <w:rPr>
          <w:rFonts w:cs="Times New Roman"/>
          <w:b/>
          <w:bCs/>
          <w:color w:val="000000"/>
          <w:sz w:val="24"/>
          <w:szCs w:val="24"/>
        </w:rPr>
        <w:t>Статья 8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целью сотрудничества в области фитосанитарии соответствующие фитосанитарные органы Сторон будут: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8" w:name="CA0_СТ_8_8_NAR_а__1"/>
      <w:bookmarkEnd w:id="8"/>
      <w:r>
        <w:rPr>
          <w:rFonts w:cs="Times New Roman"/>
          <w:color w:val="000000"/>
          <w:sz w:val="24"/>
          <w:szCs w:val="24"/>
        </w:rPr>
        <w:t>а) обмениваться информацией о законах и других правовых нормах, регулирующих карантин и защиту растений, в течение срока не более двух месяцев с даты их издания;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9" w:name="CA0_СТ_8_8_NAR_б__2"/>
      <w:bookmarkEnd w:id="9"/>
      <w:r>
        <w:rPr>
          <w:rFonts w:cs="Times New Roman"/>
          <w:color w:val="000000"/>
          <w:sz w:val="24"/>
          <w:szCs w:val="24"/>
        </w:rPr>
        <w:t>б) информировать друг друга о профессиональных журналах, монографиях и важных публикациях в области карантина и защиты растений, изданных в их государствах соответственно;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0" w:name="CA0_СТ_8_8_NAR_в__3"/>
      <w:bookmarkEnd w:id="10"/>
      <w:r>
        <w:rPr>
          <w:rFonts w:cs="Times New Roman"/>
          <w:color w:val="000000"/>
          <w:sz w:val="24"/>
          <w:szCs w:val="24"/>
        </w:rPr>
        <w:t>в) поощрять сотрудничество исследовательских учреждений и организаций фитосанитарной службы в области фитосанитарной науки.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1" w:name="CA0_СТ_9_9"/>
      <w:bookmarkEnd w:id="11"/>
      <w:r>
        <w:rPr>
          <w:rFonts w:cs="Times New Roman"/>
          <w:b/>
          <w:bCs/>
          <w:color w:val="000000"/>
          <w:sz w:val="24"/>
          <w:szCs w:val="24"/>
        </w:rPr>
        <w:t>Статья 9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импорте и экспорте больших партий растений и продукции растительного происхождения на территорию государства одной из Сторон с территории другой при взаимном согласии организуется в случае возникновения необходимости их совместная проверка и лабораторная экспертиза компетентными органами Сторон. Каждая Сторона обязуется обеспечить служебное помещение, оборудованное для осуществления данной контрольной деятельности. Расходы по пребыванию экспертов несет принимающая Сторона.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2" w:name="CA0_СТ_10_10"/>
      <w:bookmarkEnd w:id="12"/>
      <w:r>
        <w:rPr>
          <w:rFonts w:cs="Times New Roman"/>
          <w:b/>
          <w:bCs/>
          <w:color w:val="000000"/>
          <w:sz w:val="24"/>
          <w:szCs w:val="24"/>
        </w:rPr>
        <w:t>Статья 10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Следующие соответствующие органы Сторон будут осуществлять реализацию данного Соглашения: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 Министерство сельского хозяйства и продовольствия Республики Беларусь с Белорусской Стороны;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 Министерство сельского хозяйства Исламской Республики Иран с Иранской Стороны.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целью реализации настоящего Соглашения соответствующие органы Сторон будут осуществлять контакты по дипломатическим каналам.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Разногласия, которые могут возникнуть в ходе реализации настоящего Соглашения, будут разрешаться специалистами обоих Сторон путем консультаций. Если желаемые результаты не будут достигнуты таким путем, разногласия будут разрешаться по дипломатическим каналам.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3" w:name="CA0_СТ_11_11"/>
      <w:bookmarkEnd w:id="13"/>
      <w:r>
        <w:rPr>
          <w:rFonts w:cs="Times New Roman"/>
          <w:b/>
          <w:bCs/>
          <w:color w:val="000000"/>
          <w:sz w:val="24"/>
          <w:szCs w:val="24"/>
        </w:rPr>
        <w:t>Статья 11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Положения настоящего Соглашения не затрагивают прав и обязатель</w:t>
      </w:r>
      <w:proofErr w:type="gramStart"/>
      <w:r>
        <w:rPr>
          <w:rFonts w:cs="Times New Roman"/>
          <w:color w:val="000000"/>
          <w:sz w:val="24"/>
          <w:szCs w:val="24"/>
        </w:rPr>
        <w:t>ств Ст</w:t>
      </w:r>
      <w:proofErr w:type="gramEnd"/>
      <w:r>
        <w:rPr>
          <w:rFonts w:cs="Times New Roman"/>
          <w:color w:val="000000"/>
          <w:sz w:val="24"/>
          <w:szCs w:val="24"/>
        </w:rPr>
        <w:t>орон, вытекающих из других международных Договоров, в которых они участвуют.</w:t>
      </w:r>
    </w:p>
    <w:p w:rsidR="009C44DE" w:rsidRDefault="009C44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4" w:name="CA0_СТ_12_12"/>
      <w:bookmarkEnd w:id="14"/>
      <w:r>
        <w:rPr>
          <w:rFonts w:cs="Times New Roman"/>
          <w:b/>
          <w:bCs/>
          <w:color w:val="000000"/>
          <w:sz w:val="24"/>
          <w:szCs w:val="24"/>
        </w:rPr>
        <w:t>Статья 12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Настоящее Соглашение вступит в силу через тридцать дней </w:t>
      </w:r>
      <w:proofErr w:type="gramStart"/>
      <w:r>
        <w:rPr>
          <w:rFonts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последнего уведомления о выполнении Сторонами внутригосударственных процедур, необходимых для вступления настоящего Соглашения в силу.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Настоящее Соглашение заключается сроком на пять лет. Затем его действие автоматически продлевается на следующий пятилетний срок, если ни одна из Сторон не </w:t>
      </w:r>
      <w:proofErr w:type="gramStart"/>
      <w:r>
        <w:rPr>
          <w:rFonts w:cs="Times New Roman"/>
          <w:color w:val="000000"/>
          <w:sz w:val="24"/>
          <w:szCs w:val="24"/>
        </w:rPr>
        <w:t>позднее</w:t>
      </w:r>
      <w:proofErr w:type="gramEnd"/>
      <w:r>
        <w:rPr>
          <w:rFonts w:cs="Times New Roman"/>
          <w:color w:val="000000"/>
          <w:sz w:val="24"/>
          <w:szCs w:val="24"/>
        </w:rPr>
        <w:t xml:space="preserve"> чем за три месяца до истечения соответствующего срока не уведомит письменно другую Сторону о своем желании прекратить действие настоящего Соглашения.</w:t>
      </w:r>
    </w:p>
    <w:p w:rsidR="009C44DE" w:rsidRDefault="009C44DE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Положения настоящего Соглашения Стороны могут изменять или дополнять по взаимному согласию. Эти изменения и дополнения вступают в силу согласно части первой настоящей Статьи.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Совершено в г. Тегеране 9 марта 1998 года в двух подлинных экземплярах, каждый на русском, персидском и английском языках, при этом все тексты имеют одинаковую силу.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случае возникновения разногласий в толковании положений настоящего Соглашения преимущество будет иметь текст на английском языке.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46"/>
        <w:gridCol w:w="1278"/>
        <w:gridCol w:w="885"/>
        <w:gridCol w:w="3246"/>
      </w:tblGrid>
      <w:tr w:rsidR="009C44DE">
        <w:tc>
          <w:tcPr>
            <w:tcW w:w="21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spacing w:before="105" w:after="10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Исламской Республики Иран</w:t>
            </w:r>
          </w:p>
        </w:tc>
      </w:tr>
      <w:tr w:rsidR="009C44DE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</w:tbl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3213"/>
      </w:tblGrid>
      <w:tr w:rsidR="009C44DE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9C44DE" w:rsidRDefault="009C44DE">
            <w:pPr>
              <w:widowControl w:val="0"/>
              <w:autoSpaceDE w:val="0"/>
              <w:autoSpaceDN w:val="0"/>
              <w:adjustRightInd w:val="0"/>
              <w:spacing w:after="30"/>
              <w:rPr>
                <w:rFonts w:cs="Times New Roman"/>
                <w:color w:val="000000"/>
                <w:sz w:val="24"/>
                <w:szCs w:val="24"/>
              </w:rPr>
            </w:pPr>
            <w:bookmarkStart w:id="15" w:name="CA0_ПРЛ__1CN___Прил"/>
            <w:bookmarkEnd w:id="15"/>
            <w:r>
              <w:rPr>
                <w:rFonts w:cs="Times New Roman"/>
                <w:color w:val="000000"/>
                <w:sz w:val="24"/>
                <w:szCs w:val="24"/>
              </w:rPr>
              <w:t>Приложение</w:t>
            </w:r>
          </w:p>
          <w:p w:rsidR="009C44DE" w:rsidRDefault="009C44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 Соглашению между Правительством Республики Беларусь и Правительством Исламской Республики Иран о сотрудничестве в области карантина и защиты растений </w:t>
            </w:r>
          </w:p>
        </w:tc>
      </w:tr>
    </w:tbl>
    <w:p w:rsidR="009C44DE" w:rsidRDefault="009C44DE">
      <w:pPr>
        <w:widowControl w:val="0"/>
        <w:autoSpaceDE w:val="0"/>
        <w:autoSpaceDN w:val="0"/>
        <w:adjustRightInd w:val="0"/>
        <w:spacing w:before="240" w:after="240"/>
        <w:rPr>
          <w:rFonts w:cs="Times New Roman"/>
          <w:b/>
          <w:bCs/>
          <w:color w:val="000000"/>
          <w:sz w:val="24"/>
          <w:szCs w:val="24"/>
        </w:rPr>
      </w:pPr>
      <w:bookmarkStart w:id="16" w:name="CA0_ПРЛ__1_ПРЧ__1CN___Заг_Прил"/>
      <w:bookmarkEnd w:id="16"/>
      <w:r>
        <w:rPr>
          <w:rFonts w:cs="Times New Roman"/>
          <w:b/>
          <w:bCs/>
          <w:color w:val="000000"/>
          <w:sz w:val="24"/>
          <w:szCs w:val="24"/>
        </w:rPr>
        <w:t>ПЕРЕЧЕНЬ</w:t>
      </w:r>
      <w:r>
        <w:rPr>
          <w:rFonts w:cs="Times New Roman"/>
          <w:b/>
          <w:bCs/>
          <w:color w:val="000000"/>
          <w:sz w:val="24"/>
          <w:szCs w:val="24"/>
        </w:rPr>
        <w:br/>
        <w:t>вредителей, болезней растений и сорняков, которые имеют карантинное значение дня Республики Беларусь</w:t>
      </w:r>
    </w:p>
    <w:p w:rsid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А. Вредители растений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Icerya purchsi Mask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Spodoptera litura Farb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Hyphantria cunea Drury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Liriomyza trifolii (Burg)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Unaspis citri Comat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Pantomorus leucolome Boh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Tetradacus citri Chen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Pseudococcus citriculus Green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Unaspis yanonensis Kuw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Grapholitha molesta Busk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Numunia pyrivorella Mats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Spodoptera littoralis Boilsd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Diabrotica virgifera le Conte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Ceroplastes rusci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Quadraspidiotus pernisiosus Coms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Trogoderma granarium Ev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Phthorimaea operculella Zell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Callosobruchus chinensis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Leptinotarsa desemlineata Say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Lymantria dispar L (asian race)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Thrips palmi Karny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Carposina njponensis Wlaghm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Ceratitis capitata Wiied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Pseudaulacaspis pentagona Targ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Viteus vitifolii Fitch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Pectinophora gossypiella Saund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Dialeurodes citri Ashm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Phyllocnistis citrella Stainton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Pseudococcus gahani Green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Pseudococcus comstocki Kuw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Callosobruchus maculatus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Rhagoletis pomonella Walah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Agrilus mali Mats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Popillia japonica Newn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Ceroplastes japonicus Green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Lopholeucaspis japonica Ckll</w:t>
      </w:r>
    </w:p>
    <w:p w:rsidR="009C44DE" w:rsidRP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>Б</w:t>
      </w:r>
      <w:r w:rsidRPr="009C44DE">
        <w:rPr>
          <w:rFonts w:cs="Times New Roman"/>
          <w:color w:val="000000"/>
          <w:sz w:val="24"/>
          <w:szCs w:val="24"/>
          <w:lang w:val="en-US"/>
        </w:rPr>
        <w:t>. </w:t>
      </w:r>
      <w:r>
        <w:rPr>
          <w:rFonts w:cs="Times New Roman"/>
          <w:color w:val="000000"/>
          <w:sz w:val="24"/>
          <w:szCs w:val="24"/>
        </w:rPr>
        <w:t>Болезни</w:t>
      </w:r>
      <w:r w:rsidRPr="009C44DE">
        <w:rPr>
          <w:rFonts w:cs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растений</w:t>
      </w:r>
    </w:p>
    <w:p w:rsidR="009C44DE" w:rsidRP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>Грибные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Glomerella gossypii. /South/ Edgerton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Didymella chrysanthemi /Tassi/ Caret Gull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Puccini horiana P Hen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Angiosorus solani Thirum.et Q'Brio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Stenocarpella macrospora Sutton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Stenocarpella maydis Sutton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Tilletia /Neovossia/ indica Mitra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Cochliobolus carbonum R.R.Nelson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Synchytrium endobioticum /Schilb/ Percival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Phymototrichum omnivorum /Schear/ Duggar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Cochliobolus heterostrophus /Drechsler/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 xml:space="preserve">Drechsler </w:t>
      </w:r>
      <w:r>
        <w:rPr>
          <w:rFonts w:cs="Times New Roman"/>
          <w:color w:val="000000"/>
          <w:sz w:val="24"/>
          <w:szCs w:val="24"/>
        </w:rPr>
        <w:t>Раса</w:t>
      </w:r>
      <w:r w:rsidRPr="009C44DE">
        <w:rPr>
          <w:rFonts w:cs="Times New Roman"/>
          <w:color w:val="000000"/>
          <w:sz w:val="24"/>
          <w:szCs w:val="24"/>
          <w:lang w:val="en-US"/>
        </w:rPr>
        <w:t xml:space="preserve"> T /Helminthosporium maydis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Nisicado et Miyake/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Phomopsis helianthi</w:t>
      </w:r>
    </w:p>
    <w:p w:rsidR="009C44DE" w:rsidRP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lastRenderedPageBreak/>
        <w:t>Бактериальные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Erwinia stewartii (Smith) Dye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Clavibacter michiganensis subsp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sepedonicum (Spieckermann and Kotihoff) Davis et 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Xanthomanas oryzae pv oryzae (Ishiyama) Swings et 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Xanthomanas oryzae pv oryzicola (Fang et al) Swings et 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Ralstonia solanacearum (Smith) Yabuuchi et 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Erwjnia amylovora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Xanthomonas campestris pv. citri</w:t>
      </w:r>
    </w:p>
    <w:p w:rsidR="009C44DE" w:rsidRP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>Нематодные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Globodera pallida /Stone/ Mulvey et Stone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Globodera rostochiensis /Woll/ M et St.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Meloidogyne chitwoodi Golden et al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Bursaphelenchus xylophilus (Steiner et Buhrer) Nickle</w:t>
      </w:r>
    </w:p>
    <w:p w:rsidR="009C44DE" w:rsidRPr="009C44DE" w:rsidRDefault="009C44D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>В</w:t>
      </w:r>
      <w:r w:rsidRPr="009C44DE">
        <w:rPr>
          <w:rFonts w:cs="Times New Roman"/>
          <w:color w:val="000000"/>
          <w:sz w:val="24"/>
          <w:szCs w:val="24"/>
          <w:lang w:val="en-US"/>
        </w:rPr>
        <w:t>. </w:t>
      </w:r>
      <w:r>
        <w:rPr>
          <w:rFonts w:cs="Times New Roman"/>
          <w:color w:val="000000"/>
          <w:sz w:val="24"/>
          <w:szCs w:val="24"/>
        </w:rPr>
        <w:t>Сорные</w:t>
      </w:r>
      <w:r w:rsidRPr="009C44DE">
        <w:rPr>
          <w:rFonts w:cs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растения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Ambrosia artemisiifolia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Ambrosia trifida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Ambrosia psilostachya D C.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lva axillaris Purah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Acroptilon repens D.C.</w:t>
      </w:r>
    </w:p>
    <w:p w:rsid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Solanum claeagnifolium Cav.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proofErr w:type="gramStart"/>
      <w:r w:rsidRPr="009C44DE">
        <w:rPr>
          <w:rFonts w:cs="Times New Roman"/>
          <w:color w:val="000000"/>
          <w:sz w:val="24"/>
          <w:szCs w:val="24"/>
          <w:lang w:val="en-US"/>
        </w:rPr>
        <w:t>Solatium rostratum Dun.</w:t>
      </w:r>
      <w:proofErr w:type="gramEnd"/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Solanum triflorum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9C44DE">
        <w:rPr>
          <w:rFonts w:cs="Times New Roman"/>
          <w:color w:val="000000"/>
          <w:sz w:val="24"/>
          <w:szCs w:val="24"/>
          <w:lang w:val="en-US"/>
        </w:rPr>
        <w:t>Solanum carolinense L</w:t>
      </w:r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proofErr w:type="gramStart"/>
      <w:r w:rsidRPr="009C44DE">
        <w:rPr>
          <w:rFonts w:cs="Times New Roman"/>
          <w:color w:val="000000"/>
          <w:sz w:val="24"/>
          <w:szCs w:val="24"/>
          <w:lang w:val="en-US"/>
        </w:rPr>
        <w:t>Cuscuta sp.sp.</w:t>
      </w:r>
      <w:proofErr w:type="gramEnd"/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proofErr w:type="gramStart"/>
      <w:r w:rsidRPr="009C44DE">
        <w:rPr>
          <w:rFonts w:cs="Times New Roman"/>
          <w:color w:val="000000"/>
          <w:sz w:val="24"/>
          <w:szCs w:val="24"/>
          <w:lang w:val="en-US"/>
        </w:rPr>
        <w:t>Striga sp.sp.</w:t>
      </w:r>
      <w:proofErr w:type="gramEnd"/>
    </w:p>
    <w:p w:rsidR="009C44DE" w:rsidRPr="009C44DE" w:rsidRDefault="009C44DE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  <w:lang w:val="en-US"/>
        </w:rPr>
      </w:pPr>
      <w:proofErr w:type="gramStart"/>
      <w:r w:rsidRPr="009C44DE">
        <w:rPr>
          <w:rFonts w:cs="Times New Roman"/>
          <w:color w:val="000000"/>
          <w:sz w:val="24"/>
          <w:szCs w:val="24"/>
          <w:lang w:val="en-US"/>
        </w:rPr>
        <w:t>Cenchrus pauciflorus Benth.</w:t>
      </w:r>
      <w:proofErr w:type="gramEnd"/>
      <w:r w:rsidRPr="009C44DE">
        <w:rPr>
          <w:rFonts w:cs="Times New Roman"/>
          <w:color w:val="000000"/>
          <w:sz w:val="24"/>
          <w:szCs w:val="24"/>
          <w:lang w:val="en-US"/>
        </w:rPr>
        <w:t xml:space="preserve"> /fribuloides/</w:t>
      </w:r>
    </w:p>
    <w:p w:rsidR="00556A0C" w:rsidRPr="009C44DE" w:rsidRDefault="00556A0C" w:rsidP="009C44DE">
      <w:pPr>
        <w:rPr>
          <w:lang w:val="en-US"/>
        </w:rPr>
      </w:pPr>
      <w:bookmarkStart w:id="17" w:name="_GoBack"/>
      <w:bookmarkEnd w:id="17"/>
    </w:p>
    <w:sectPr w:rsidR="00556A0C" w:rsidRPr="009C44DE" w:rsidSect="008903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DE"/>
    <w:rsid w:val="002C3C40"/>
    <w:rsid w:val="00556A0C"/>
    <w:rsid w:val="009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#0#1#0#0#CA0|&#1055;&#1056;&#1051;~~1CN~|#&#1055;&#1088;&#1080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2012-08-10T09:44:00Z</dcterms:created>
  <dcterms:modified xsi:type="dcterms:W3CDTF">2012-08-10T09:44:00Z</dcterms:modified>
</cp:coreProperties>
</file>