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04" w:rsidRDefault="0060000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  <w:lang w:val="x-none"/>
        </w:rPr>
      </w:pPr>
      <w:r>
        <w:rPr>
          <w:rFonts w:cs="Times New Roman"/>
          <w:b/>
          <w:bCs/>
          <w:color w:val="000000"/>
          <w:sz w:val="24"/>
          <w:szCs w:val="24"/>
          <w:lang w:val="x-none"/>
        </w:rPr>
        <w:t>Соглашение о сотрудничестве в области карантина и защиты растений между Правительством Республики Беларусь и Правительством Арабской Республики Египет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i/>
          <w:iCs/>
          <w:color w:val="000000"/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</w:rPr>
        <w:t>Вступило в силу 7 марта 1999 года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Правительство Республики Беларусь и Правительство Арабской Республики Египет, именуемые в дальнейшем Договаривающимися Сторонами,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учитывая значительный вклад в борьбу с карантинными сорняками, вредителями и болезнями растений, а также в целях предотвращения проникновения и распространения их в обеих странах,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заявляя о своей готовности координировать усилия в борьбе с карантинными организмами для защиты территорий своих государств от их распространения,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руководствуясь желанием развивать более интенсивные научно-технические взаимоотношения,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согласились о нижеследующем:</w:t>
      </w:r>
    </w:p>
    <w:p w:rsidR="00600004" w:rsidRDefault="0060000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0" w:name="CA0_СТ_1_1"/>
      <w:bookmarkEnd w:id="0"/>
      <w:r>
        <w:rPr>
          <w:rFonts w:cs="Times New Roman"/>
          <w:b/>
          <w:bCs/>
          <w:color w:val="000000"/>
          <w:sz w:val="24"/>
          <w:szCs w:val="24"/>
        </w:rPr>
        <w:t>Статья 1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Употребляемые в настоящем Соглашении термины обозначают: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растения – живые растения и их части, в том числе семена;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продукция растительного происхождения – необработанные материалы растительного происхождения и те обработанные продукты, которые своим естеством или способом производства или переработки могут содержать или привести к распространению карантинных организмов;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карантинные организмы – вредители и болезни растений, а также сорняки, не существующие на территории страны или существующие, но с ограниченным их распространением и находящиеся под официальным контролем;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фитосанитарные мероприятия – любые законодательные, нормативные или административные меры с целью предотвращения проникновения или распространения вредителей растений, а также применяемые к распространяющимся вредителям;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источник инфекции – вещи, не являющиеся растениями и продукцией растительного происхождения, в которых могут содержаться карантинные организмы.</w:t>
      </w:r>
    </w:p>
    <w:p w:rsidR="00600004" w:rsidRDefault="0060000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" w:name="CA0_СТ_2_2"/>
      <w:bookmarkEnd w:id="1"/>
      <w:r>
        <w:rPr>
          <w:rFonts w:cs="Times New Roman"/>
          <w:b/>
          <w:bCs/>
          <w:color w:val="000000"/>
          <w:sz w:val="24"/>
          <w:szCs w:val="24"/>
        </w:rPr>
        <w:t>Статья 2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Договаривающиеся Стороны поддерживают и развивают сотрудничество в области карантина и защиты растений в рамках настоящего Соглашения в соответствии со своим национальным законодательством.</w:t>
      </w:r>
    </w:p>
    <w:p w:rsidR="00600004" w:rsidRDefault="0060000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2" w:name="CA0_СТ_3_3"/>
      <w:bookmarkEnd w:id="2"/>
      <w:r>
        <w:rPr>
          <w:rFonts w:cs="Times New Roman"/>
          <w:b/>
          <w:bCs/>
          <w:color w:val="000000"/>
          <w:sz w:val="24"/>
          <w:szCs w:val="24"/>
        </w:rPr>
        <w:t>Статья 3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" w:name="CA0_СТ_3_3_П_1_1"/>
      <w:bookmarkEnd w:id="3"/>
      <w:r>
        <w:rPr>
          <w:rFonts w:cs="Times New Roman"/>
          <w:color w:val="000000"/>
          <w:sz w:val="24"/>
          <w:szCs w:val="24"/>
        </w:rPr>
        <w:t>1. Договаривающиеся Стороны обязуются проводить эффективные мероприятия по предотвращению проникновения или распространения с территории государства одной Договаривающейся Стороны на территорию государства другой Договаривающейся Стороны карантинных организмов.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4" w:name="CA0_СТ_3_3_П_2_2"/>
      <w:bookmarkEnd w:id="4"/>
      <w:r>
        <w:rPr>
          <w:rFonts w:cs="Times New Roman"/>
          <w:color w:val="000000"/>
          <w:sz w:val="24"/>
          <w:szCs w:val="24"/>
        </w:rPr>
        <w:t xml:space="preserve">2. Перечень карантинных организмов, указанный в </w:t>
      </w:r>
      <w:hyperlink r:id="rId5" w:history="1">
        <w:r>
          <w:rPr>
            <w:rFonts w:cs="Times New Roman"/>
            <w:color w:val="0000FF"/>
            <w:sz w:val="24"/>
            <w:szCs w:val="24"/>
          </w:rPr>
          <w:t>приложении</w:t>
        </w:r>
      </w:hyperlink>
      <w:r>
        <w:rPr>
          <w:rFonts w:cs="Times New Roman"/>
          <w:color w:val="000000"/>
          <w:sz w:val="24"/>
          <w:szCs w:val="24"/>
        </w:rPr>
        <w:t xml:space="preserve"> к настоящему Соглашению, является его неотъемлемой частью.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5" w:name="CA0_СТ_3_3_П_3_3"/>
      <w:bookmarkEnd w:id="5"/>
      <w:r>
        <w:rPr>
          <w:rFonts w:cs="Times New Roman"/>
          <w:color w:val="000000"/>
          <w:sz w:val="24"/>
          <w:szCs w:val="24"/>
        </w:rPr>
        <w:t>3. Договаривающиеся Стороны организуют на своей территории: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6" w:name="CA0_СТ_3_3_П_3_3_NAR_а__1"/>
      <w:bookmarkEnd w:id="6"/>
      <w:r>
        <w:rPr>
          <w:rFonts w:cs="Times New Roman"/>
          <w:color w:val="000000"/>
          <w:sz w:val="24"/>
          <w:szCs w:val="24"/>
        </w:rPr>
        <w:t>а) контроль посевов сельскохозяйственных культур и дикорастущих растений, а также продуктов растительного происхождения при их хранении или транспортировке в целях установления массового появления и распространения вредителей растений;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7" w:name="CA0_СТ_3_3_П_3_3_NAR_б__2"/>
      <w:bookmarkEnd w:id="7"/>
      <w:r>
        <w:rPr>
          <w:rFonts w:cs="Times New Roman"/>
          <w:color w:val="000000"/>
          <w:sz w:val="24"/>
          <w:szCs w:val="24"/>
        </w:rPr>
        <w:t xml:space="preserve">б) контроль партий растений и продукции растительного происхождения, </w:t>
      </w:r>
      <w:r>
        <w:rPr>
          <w:rFonts w:cs="Times New Roman"/>
          <w:color w:val="000000"/>
          <w:sz w:val="24"/>
          <w:szCs w:val="24"/>
        </w:rPr>
        <w:lastRenderedPageBreak/>
        <w:t>предназначенных на вывоз, а также транспортных средств, используемых для международной торговли;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8" w:name="CA0_СТ_3_3_П_3_3_NAR_в__3"/>
      <w:bookmarkEnd w:id="8"/>
      <w:r>
        <w:rPr>
          <w:rFonts w:cs="Times New Roman"/>
          <w:color w:val="000000"/>
          <w:sz w:val="24"/>
          <w:szCs w:val="24"/>
        </w:rPr>
        <w:t>в) дезинфекцию партий растений и продукции растительного происхождения в соответствии с фитосанитарными требованиями;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9" w:name="CA0_СТ_3_3_П_3_3_NAR_г__4"/>
      <w:bookmarkEnd w:id="9"/>
      <w:r>
        <w:rPr>
          <w:rFonts w:cs="Times New Roman"/>
          <w:color w:val="000000"/>
          <w:sz w:val="24"/>
          <w:szCs w:val="24"/>
        </w:rPr>
        <w:t>г) выдачу компетентными органами фитосанитарных сертификатов в соответствии с фитосанитарными нормами для растений и продукции растительного происхождения, импортируемых с территории одной Договаривающейся Стороны на территорию другой Договаривающейся Стороны.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0" w:name="CA0_СТ_3_3_П_4_4"/>
      <w:bookmarkEnd w:id="10"/>
      <w:r>
        <w:rPr>
          <w:rFonts w:cs="Times New Roman"/>
          <w:color w:val="000000"/>
          <w:sz w:val="24"/>
          <w:szCs w:val="24"/>
        </w:rPr>
        <w:t>4. Фитосанитарные сертификаты выполняются на русском, арабском и английском языках без исправлений и изменений в тексте. В случае изменений и исправлений в тексте сертификат является недействительным.</w:t>
      </w:r>
    </w:p>
    <w:p w:rsidR="00600004" w:rsidRDefault="0060000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1" w:name="CA0_СТ_4_4"/>
      <w:bookmarkEnd w:id="11"/>
      <w:r>
        <w:rPr>
          <w:rFonts w:cs="Times New Roman"/>
          <w:b/>
          <w:bCs/>
          <w:color w:val="000000"/>
          <w:sz w:val="24"/>
          <w:szCs w:val="24"/>
        </w:rPr>
        <w:t>Статья 4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Договаривающиеся Стороны обязуются: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2" w:name="CA0_СТ_4_4_П_1_5"/>
      <w:bookmarkEnd w:id="12"/>
      <w:r>
        <w:rPr>
          <w:rFonts w:cs="Times New Roman"/>
          <w:color w:val="000000"/>
          <w:sz w:val="24"/>
          <w:szCs w:val="24"/>
        </w:rPr>
        <w:t>1. Предоставлять информацию о массовом появлении или распространении вредителей растений, которые могут представлять непосредственную опасность.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3" w:name="CA0_СТ_4_4_П_2_6"/>
      <w:bookmarkEnd w:id="13"/>
      <w:r>
        <w:rPr>
          <w:rFonts w:cs="Times New Roman"/>
          <w:color w:val="000000"/>
          <w:sz w:val="24"/>
          <w:szCs w:val="24"/>
        </w:rPr>
        <w:t>2. Обмениваться соответствующей законодательной документацией и инструкциями.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4" w:name="CA0_СТ_4_4_П_3_7"/>
      <w:bookmarkEnd w:id="14"/>
      <w:r>
        <w:rPr>
          <w:rFonts w:cs="Times New Roman"/>
          <w:color w:val="000000"/>
          <w:sz w:val="24"/>
          <w:szCs w:val="24"/>
        </w:rPr>
        <w:t>3. Осуществлять фитосанитарный контроль всех растений и продукции растительного происхождения, в том числе и предназначенных для дипломатического корпуса в пунктах приема, независимо от сопровождения их фитосанитарным сертификатом.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5" w:name="CA0_СТ_4_4_П_4_8"/>
      <w:bookmarkEnd w:id="15"/>
      <w:r>
        <w:rPr>
          <w:rFonts w:cs="Times New Roman"/>
          <w:color w:val="000000"/>
          <w:sz w:val="24"/>
          <w:szCs w:val="24"/>
        </w:rPr>
        <w:t>4. Уведомлять друг друга за 30 (тридцать) дней до даты их введения об ограничениях, связанных с ввозом растений, продукции растительного происхождения или об изменениях в перечне карантинных вредителей посредством прямых контактов соответствующих компетентных органов или дипломатическим путем.</w:t>
      </w:r>
    </w:p>
    <w:p w:rsidR="00600004" w:rsidRDefault="0060000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6" w:name="CA0_СТ_5_5"/>
      <w:bookmarkEnd w:id="16"/>
      <w:r>
        <w:rPr>
          <w:rFonts w:cs="Times New Roman"/>
          <w:b/>
          <w:bCs/>
          <w:color w:val="000000"/>
          <w:sz w:val="24"/>
          <w:szCs w:val="24"/>
        </w:rPr>
        <w:t>Статья 5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7" w:name="CA0_СТ_5_5_П_1_9"/>
      <w:bookmarkEnd w:id="17"/>
      <w:r>
        <w:rPr>
          <w:rFonts w:cs="Times New Roman"/>
          <w:color w:val="000000"/>
          <w:sz w:val="24"/>
          <w:szCs w:val="24"/>
        </w:rPr>
        <w:t>1. Договаривающиеся Стороны запрещают ввоз почвы на свою территорию (за исключением торфа), а также укорененных растений с наличием почвы.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8" w:name="CA0_СТ_5_5_П_2_10"/>
      <w:bookmarkEnd w:id="18"/>
      <w:r>
        <w:rPr>
          <w:rFonts w:cs="Times New Roman"/>
          <w:color w:val="000000"/>
          <w:sz w:val="24"/>
          <w:szCs w:val="24"/>
        </w:rPr>
        <w:t>2. Для упаковки товаров Договаривающиеся Стороны должны применять материалы, свободные от карантинных организмов и не переносящие их.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Сено, солома, мякина, кора, отходы растений и другие материалы, которые могут быть переносчиками карантинных организмов, не допускаются к использованию в качестве упаковки.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9" w:name="CA0_СТ_5_5_П_3_11"/>
      <w:bookmarkEnd w:id="19"/>
      <w:r>
        <w:rPr>
          <w:rFonts w:cs="Times New Roman"/>
          <w:color w:val="000000"/>
          <w:sz w:val="24"/>
          <w:szCs w:val="24"/>
        </w:rPr>
        <w:t>3. Транспортные средства, используемые при перевозке растений, продукции растительного происхождения и других материалов, должны быть при необходимости очищенными или дезинфицированными в соответствии с фитосанитарными требованиями.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0" w:name="CA0_СТ_5_5_П_4_12"/>
      <w:bookmarkEnd w:id="20"/>
      <w:r>
        <w:rPr>
          <w:rFonts w:cs="Times New Roman"/>
          <w:color w:val="000000"/>
          <w:sz w:val="24"/>
          <w:szCs w:val="24"/>
        </w:rPr>
        <w:t>4. Транзитная перевозка растений и продукции растительного происхождения допускается в случае, когда груз отвечает фитосанитарным требованиям страны транзита, через которую он перемещается.</w:t>
      </w:r>
    </w:p>
    <w:p w:rsidR="00600004" w:rsidRDefault="0060000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21" w:name="CA0_СТ_6_6"/>
      <w:bookmarkEnd w:id="21"/>
      <w:r>
        <w:rPr>
          <w:rFonts w:cs="Times New Roman"/>
          <w:b/>
          <w:bCs/>
          <w:color w:val="000000"/>
          <w:sz w:val="24"/>
          <w:szCs w:val="24"/>
        </w:rPr>
        <w:t>Статья 6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2" w:name="CA0_СТ_6_6_П_1_13"/>
      <w:bookmarkEnd w:id="22"/>
      <w:r>
        <w:rPr>
          <w:rFonts w:cs="Times New Roman"/>
          <w:color w:val="000000"/>
          <w:sz w:val="24"/>
          <w:szCs w:val="24"/>
        </w:rPr>
        <w:t>1. При ввозе и вывозе больших партий растений и продукции растительного происхождения при взаимном согласии проводится их совместная лабораторная экспертиза. Каждая Договаривающаяся Сторона обязуется обеспечить соответствующие оборудование и условия для осуществления вышеуказанной лабораторной экспертизы.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3" w:name="CA0_СТ_6_6_П_2_14"/>
      <w:bookmarkEnd w:id="23"/>
      <w:r>
        <w:rPr>
          <w:rFonts w:cs="Times New Roman"/>
          <w:color w:val="000000"/>
          <w:sz w:val="24"/>
          <w:szCs w:val="24"/>
        </w:rPr>
        <w:t>2. Осуществляется взаимный обмен информацией о научно-технических достижениях в области карантина и защиты растений, а также монографиями и важными публикациями.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4" w:name="CA0_СТ_6_6_П_3_15"/>
      <w:bookmarkEnd w:id="24"/>
      <w:r>
        <w:rPr>
          <w:rFonts w:cs="Times New Roman"/>
          <w:color w:val="000000"/>
          <w:sz w:val="24"/>
          <w:szCs w:val="24"/>
        </w:rPr>
        <w:t>3. Предусмотренную в пункте 2 настоящей Статьи информацию нельзя передавать третьей стороне, не имея на то согласия Договаривающейся Стороны, которая ее предоставила.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5" w:name="CA0_СТ_6_6_П_4_16"/>
      <w:bookmarkEnd w:id="25"/>
      <w:r>
        <w:rPr>
          <w:rFonts w:cs="Times New Roman"/>
          <w:color w:val="000000"/>
          <w:sz w:val="24"/>
          <w:szCs w:val="24"/>
        </w:rPr>
        <w:lastRenderedPageBreak/>
        <w:t>4. Договаривающиеся Стороны создают совместную техническую комиссию экспертов в обеих странах. Эта комиссия собирается, при необходимости, поочередно в каждой из двух стран для решения вопросов, возникших в результате реализации положений данного Соглашения.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6" w:name="CA0_СТ_6_6_П_5_17"/>
      <w:bookmarkEnd w:id="26"/>
      <w:r>
        <w:rPr>
          <w:rFonts w:cs="Times New Roman"/>
          <w:color w:val="000000"/>
          <w:sz w:val="24"/>
          <w:szCs w:val="24"/>
        </w:rPr>
        <w:t>5. Договаривающиеся Стороны обмениваются визитами экспертов. Транспортные расходы несет направляющая сторона, принимающая сторона несет расходы по приему и транспортные расходы внутри страны.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7" w:name="CA0_СТ_6_6_П_6_18"/>
      <w:bookmarkEnd w:id="27"/>
      <w:r>
        <w:rPr>
          <w:rFonts w:cs="Times New Roman"/>
          <w:color w:val="000000"/>
          <w:sz w:val="24"/>
          <w:szCs w:val="24"/>
        </w:rPr>
        <w:t>6. Мероприятия по выполнению настоящего Соглашения согласуются с компетентными органами Договаривающихся Сторон.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8" w:name="CA0_СТ_6_6_П_7_19"/>
      <w:bookmarkEnd w:id="28"/>
      <w:r>
        <w:rPr>
          <w:rFonts w:cs="Times New Roman"/>
          <w:color w:val="000000"/>
          <w:sz w:val="24"/>
          <w:szCs w:val="24"/>
        </w:rPr>
        <w:t>7. Положения настоящего Соглашения не затрагивают прав и обязательств Договаривающихся Сторон, вытекающих из других международных договоров, участниками которых являются Договаривающиеся Стороны.</w:t>
      </w:r>
    </w:p>
    <w:p w:rsidR="00600004" w:rsidRDefault="0060000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29" w:name="CA0_СТ_7_7"/>
      <w:bookmarkEnd w:id="29"/>
      <w:r>
        <w:rPr>
          <w:rFonts w:cs="Times New Roman"/>
          <w:b/>
          <w:bCs/>
          <w:color w:val="000000"/>
          <w:sz w:val="24"/>
          <w:szCs w:val="24"/>
        </w:rPr>
        <w:t>Статья 7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0" w:name="CA0_СТ_7_7_П_1_20"/>
      <w:bookmarkEnd w:id="30"/>
      <w:r>
        <w:rPr>
          <w:rFonts w:cs="Times New Roman"/>
          <w:color w:val="000000"/>
          <w:sz w:val="24"/>
          <w:szCs w:val="24"/>
        </w:rPr>
        <w:t xml:space="preserve">1. Настоящее Соглашение вступает в силу </w:t>
      </w:r>
      <w:proofErr w:type="gramStart"/>
      <w:r>
        <w:rPr>
          <w:rFonts w:cs="Times New Roman"/>
          <w:color w:val="000000"/>
          <w:sz w:val="24"/>
          <w:szCs w:val="24"/>
        </w:rPr>
        <w:t>с даты</w:t>
      </w:r>
      <w:proofErr w:type="gramEnd"/>
      <w:r>
        <w:rPr>
          <w:rFonts w:cs="Times New Roman"/>
          <w:color w:val="000000"/>
          <w:sz w:val="24"/>
          <w:szCs w:val="24"/>
        </w:rPr>
        <w:t xml:space="preserve"> письменного уведомления обеими Договаривающимися Сторонами друг друга по дипломатическим каналам о выполнении соответствующих конституционных процедур по вступлению Соглашения в силу; датой вступления в силу является дата последнего уведомления.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1" w:name="CA0_СТ_7_7_П_2_21"/>
      <w:bookmarkEnd w:id="31"/>
      <w:r>
        <w:rPr>
          <w:rFonts w:cs="Times New Roman"/>
          <w:color w:val="000000"/>
          <w:sz w:val="24"/>
          <w:szCs w:val="24"/>
        </w:rPr>
        <w:t xml:space="preserve">2. Настоящее Соглашение заключается сроком на 5 (пять) лет. Затем его действие автоматически продлевается на следующий пятилетний период, если ни одна из Договаривающихся Сторон не </w:t>
      </w:r>
      <w:proofErr w:type="gramStart"/>
      <w:r>
        <w:rPr>
          <w:rFonts w:cs="Times New Roman"/>
          <w:color w:val="000000"/>
          <w:sz w:val="24"/>
          <w:szCs w:val="24"/>
        </w:rPr>
        <w:t>позднее</w:t>
      </w:r>
      <w:proofErr w:type="gramEnd"/>
      <w:r>
        <w:rPr>
          <w:rFonts w:cs="Times New Roman"/>
          <w:color w:val="000000"/>
          <w:sz w:val="24"/>
          <w:szCs w:val="24"/>
        </w:rPr>
        <w:t xml:space="preserve"> чем за шесть месяцев до истечения соответствующего срока не уведомит письменно другую Договаривающуюся Сторону о своем желании прекратить действие настоящего Соглашения.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2" w:name="CA0_СТ_7_7_П_3_22"/>
      <w:bookmarkEnd w:id="32"/>
      <w:r>
        <w:rPr>
          <w:rFonts w:cs="Times New Roman"/>
          <w:color w:val="000000"/>
          <w:sz w:val="24"/>
          <w:szCs w:val="24"/>
        </w:rPr>
        <w:t xml:space="preserve">3. Положения настоящего </w:t>
      </w:r>
      <w:proofErr w:type="gramStart"/>
      <w:r>
        <w:rPr>
          <w:rFonts w:cs="Times New Roman"/>
          <w:color w:val="000000"/>
          <w:sz w:val="24"/>
          <w:szCs w:val="24"/>
        </w:rPr>
        <w:t>Соглашения</w:t>
      </w:r>
      <w:proofErr w:type="gramEnd"/>
      <w:r>
        <w:rPr>
          <w:rFonts w:cs="Times New Roman"/>
          <w:color w:val="000000"/>
          <w:sz w:val="24"/>
          <w:szCs w:val="24"/>
        </w:rPr>
        <w:t xml:space="preserve"> Договаривающиеся Стороны могут изменять по взаимному согласию. Эти изменения вступают в силу согласно пункту 1 настоящей Статьи.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Совершено в г. Каире 16 июня 1998 года в двух подлинных экземплярах на русском, арабском и английском языках, причем все тексты имеют одинаковую силу; в случае возникновения разногласий в толковании преимущество имеет текст на английском языке.</w:t>
      </w:r>
    </w:p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246"/>
        <w:gridCol w:w="1278"/>
        <w:gridCol w:w="885"/>
        <w:gridCol w:w="3246"/>
      </w:tblGrid>
      <w:tr w:rsidR="00600004">
        <w:tc>
          <w:tcPr>
            <w:tcW w:w="21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 Правительство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Республики Беларусь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05" w:after="10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 Правительство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Арабской Республики Египет</w:t>
            </w:r>
          </w:p>
        </w:tc>
      </w:tr>
      <w:tr w:rsidR="00600004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</w:tbl>
    <w:p w:rsid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5"/>
        <w:gridCol w:w="3213"/>
      </w:tblGrid>
      <w:tr w:rsidR="00600004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after="30"/>
              <w:rPr>
                <w:rFonts w:cs="Times New Roman"/>
                <w:color w:val="000000"/>
                <w:sz w:val="24"/>
                <w:szCs w:val="24"/>
              </w:rPr>
            </w:pPr>
            <w:bookmarkStart w:id="33" w:name="CA0_ПРЛ__1CN___Прил"/>
            <w:bookmarkEnd w:id="33"/>
            <w:r>
              <w:rPr>
                <w:rFonts w:cs="Times New Roman"/>
                <w:color w:val="000000"/>
                <w:sz w:val="24"/>
                <w:szCs w:val="24"/>
              </w:rPr>
              <w:t>Приложение</w:t>
            </w:r>
          </w:p>
          <w:p w:rsidR="00600004" w:rsidRDefault="00600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 Соглашению между Правительством Республики Беларусь и Правительством Арабской Республики Египет о сотрудничестве в области карантина и защиты растений </w:t>
            </w:r>
          </w:p>
        </w:tc>
      </w:tr>
    </w:tbl>
    <w:p w:rsidR="00600004" w:rsidRDefault="0060000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34" w:name="CA0_ПРЛ__1_ПРЧ__1CN___Заг_Прил"/>
      <w:bookmarkEnd w:id="34"/>
      <w:r>
        <w:rPr>
          <w:rFonts w:cs="Times New Roman"/>
          <w:b/>
          <w:bCs/>
          <w:color w:val="000000"/>
          <w:sz w:val="24"/>
          <w:szCs w:val="24"/>
        </w:rPr>
        <w:t>ПЕРЕЧЕНЬ</w:t>
      </w:r>
      <w:r>
        <w:rPr>
          <w:rFonts w:cs="Times New Roman"/>
          <w:b/>
          <w:bCs/>
          <w:color w:val="000000"/>
          <w:sz w:val="24"/>
          <w:szCs w:val="24"/>
        </w:rPr>
        <w:br/>
        <w:t>вредителей, болезней растений и сорняков, которые имеют карантинное значение для Республики Беларусь</w:t>
      </w: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49"/>
        <w:gridCol w:w="4899"/>
      </w:tblGrid>
      <w:tr w:rsidR="00600004">
        <w:trPr>
          <w:trHeight w:val="240"/>
        </w:trPr>
        <w:tc>
          <w:tcPr>
            <w:tcW w:w="17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А. Вредители растений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Австрийский желобчатый червец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Icerya purchsi Mask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Азиатская хлопковая совка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Spodoptera litura Farb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Американская белая бабочка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Hyphantria cunea Drury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Американский клеверный минер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Liriomyza trifolii (Burg)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Апельсиновая щитовка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Unaspis citri Comat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Белокаемчатый жук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Pantomorus leucoloma Boh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Большая мандариновая муха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Tetradacus citri Chen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Восточный мучнистый червец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Pseudococcus citriculus Green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Восточная цитрусовая щитовка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Unaspis yanonensis Kuw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Восточная плодожорка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Grapholitha molesta Busck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Грушевая огневка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Numonia pyrivorella Mats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Египетская хлопковая совка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Spodoptera littoralis Boisd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Западный кукурузный жук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Diabrotica virgifera virgifera le Conte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Инжировая восковая ложнощитовка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Ceroplastes rusci L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Калифорнийская щитовка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Quadraspidiotus perniciosus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Капровый жук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Trogoderma granarium Ev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Картофельная моль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Phthorimaea operculella Zell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Китайская зерновка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Callosobruchus chinensis L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Колорадский картофельный жук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Leptinotarsa decemlineata Say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Непарный шелкопряд (азиатская раса)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Lymantria dispar L (asian race)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Пальмовый трипс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Thrips palmi Karny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Персиковая плодожорка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Carposina niponensis Wlsghm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Средиземноморская плодовая муха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Ceratitis capitata Wied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Тутовая щитовка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Pseudaulacaspis pentagona Targ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Филлоксера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Viteus vitifolli Fitch 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Хлопковая моль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Pectinophora gossypiella Saund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Цитрусовая белокрылка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Dialeurodes citri Ashm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Цитрусовая минирующая моль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Phyllocnistis citrella Stainton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Цитрусовый мучнистый червец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Pseudococcus gahani Green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Червец Комстока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Pseudococcus comstocki Kuw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Четырехпятнистая зерновка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Callosobruchus maculatus F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Яблонная муха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Rhagoletis pomonella Walsh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Яблонная златка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Agrilus mali Mats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Японский жук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Popillia japonica Newm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Японская восковая ложнощитовка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Ceroplastes japonicus Green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Японская палочковидная щитовка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Lopoleucaspis japonica Ckll</w:t>
            </w:r>
          </w:p>
        </w:tc>
      </w:tr>
      <w:tr w:rsidR="00600004">
        <w:trPr>
          <w:trHeight w:val="240"/>
        </w:trPr>
        <w:tc>
          <w:tcPr>
            <w:tcW w:w="17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Б. Болезни растений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Грибные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Антракноз хлопчатника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Glomerella gossypii (South) Edgerton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Аскохитоз хризантем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Didymella chrysanthemi (Tassi) Car et Gull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Белая ржавчина хризантем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Puccinia horiana P. Henn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Головня картофельная (клубней)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Angiosorus solani Thirumet Q'Brien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Диплодиоз кукурузы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Stenocarpella macrospora Sutton</w:t>
            </w:r>
          </w:p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Stenocarpella maydis Sutton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Индийская головня пшеницы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Tilletia (Neovossia) indica Mitra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Пятнистость листьев кукурузы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Cochliobolus carbonum R. R. Nelson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Рак картофеля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Synchytrium endobioticum (Schilb) Percival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Техасская корневая гниль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Phymatotrichopsis omnivora (Schear) Duggar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Южный гельминтоспориоз кукурузы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aca T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Cochliobolus Heterostrophus (Drechsler) Drechsler Rasa T (Helminthosporium maydis Nisicado et Miyake)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Фомопсис подсолнечника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Phomopsis helianthi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Бактериальные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Бактериальное увядание (вилт) кукурузы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Erwinia stewartii (Smith) Dye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Бактериальная кольцевая гниль картофеля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Clavibacter michiganensis subsp sepedonicum (Spieckermann and Kotthoff) Davis et al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Бактериальный ожог риса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Xanthomanas oryzae pv oryzae (Ishiyama) Swings et al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Бактериальная полосатость риса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Xanthomanas oryzae pv oryzicola (Fang et al) Swings et al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Бурая гниль картофеля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Ralstonia solanacearum (Smith) Yabuuchi et al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Ожог плодовых деревьев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Erwinia amylovora (Burrill) Winslow et al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Рак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цитрусовых</w:t>
            </w:r>
            <w:proofErr w:type="gram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Xanthomonas campestris pv. citri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Нематодные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Бледная картофельная нематода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Globodera pallida (Stone) Mulvey et Stone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Золотистая картофельная нематода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Globodera rostochiensis (Woll) M et St.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Колумбийская галловая корневая нематода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Meloidogyne chitwoodi Golden et al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Сосновая стволовая нематода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Bursaphelenchus xylophilus (Steiner et Buhrer) Nickle</w:t>
            </w:r>
          </w:p>
        </w:tc>
      </w:tr>
      <w:tr w:rsidR="00600004">
        <w:trPr>
          <w:trHeight w:val="240"/>
        </w:trPr>
        <w:tc>
          <w:tcPr>
            <w:tcW w:w="17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В. Сорные растения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Амброзия полыннолистная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Ambrosia artemisifolia L.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Амброзия трехраздельная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Ambrosia trifida L.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Амброзия многолетняя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Ambrosia psilostachya D. C.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Бузинник пазушный (ива многолетняя)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Iva axillaris Pursh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Горчак ползучий (розовый)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Acroptilon repens D. C.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Паслен линейнолистный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Solanum elaeagnifolium Cav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Стриги (все виды)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Striga (sp. sp.)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Паслен колючий (клювовидный)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Solanum rostratum Dun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Паслен трехцветковый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Solanum triflorum L.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Паслен каролинский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Solanum carolinense L.</w:t>
            </w:r>
          </w:p>
        </w:tc>
      </w:tr>
      <w:tr w:rsid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Повилики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Cuscuta sp. sp.</w:t>
            </w:r>
          </w:p>
        </w:tc>
      </w:tr>
      <w:tr w:rsidR="00600004" w:rsidRPr="00600004">
        <w:trPr>
          <w:trHeight w:val="240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Ценхрус малоцветковы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якорцевый)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600004" w:rsidRPr="00600004" w:rsidRDefault="0060000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00004">
              <w:rPr>
                <w:rFonts w:cs="Times New Roman"/>
                <w:color w:val="000000"/>
                <w:sz w:val="24"/>
                <w:szCs w:val="24"/>
                <w:lang w:val="en-US"/>
              </w:rPr>
              <w:t>Cenchrus pauciflorus Benth (tribuloides L.)</w:t>
            </w:r>
          </w:p>
        </w:tc>
      </w:tr>
    </w:tbl>
    <w:p w:rsidR="00600004" w:rsidRPr="00600004" w:rsidRDefault="00600004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</w:p>
    <w:p w:rsidR="00556A0C" w:rsidRPr="00600004" w:rsidRDefault="00556A0C" w:rsidP="00600004">
      <w:pPr>
        <w:rPr>
          <w:lang w:val="en-US"/>
        </w:rPr>
      </w:pPr>
      <w:bookmarkStart w:id="35" w:name="_GoBack"/>
      <w:bookmarkEnd w:id="35"/>
    </w:p>
    <w:sectPr w:rsidR="00556A0C" w:rsidRPr="00600004" w:rsidSect="006C0C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04"/>
    <w:rsid w:val="002C3C40"/>
    <w:rsid w:val="00556A0C"/>
    <w:rsid w:val="0060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#0#1#0#0#CA0|&#1055;&#1056;&#1051;~~1CN~|#&#1055;&#1088;&#1080;&#108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2012-08-10T09:43:00Z</dcterms:created>
  <dcterms:modified xsi:type="dcterms:W3CDTF">2012-08-10T09:43:00Z</dcterms:modified>
</cp:coreProperties>
</file>